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8" w:type="dxa"/>
        <w:jc w:val="center"/>
        <w:tblLayout w:type="fixed"/>
        <w:tblCellMar>
          <w:left w:w="70" w:type="dxa"/>
          <w:right w:w="70" w:type="dxa"/>
        </w:tblCellMar>
        <w:tblLook w:val="0000" w:firstRow="0" w:lastRow="0" w:firstColumn="0" w:lastColumn="0" w:noHBand="0" w:noVBand="0"/>
      </w:tblPr>
      <w:tblGrid>
        <w:gridCol w:w="2836"/>
        <w:gridCol w:w="8222"/>
      </w:tblGrid>
      <w:tr w:rsidR="00117E8C" w:rsidRPr="007C519C" w:rsidTr="00AC6C11">
        <w:trPr>
          <w:cantSplit/>
          <w:jc w:val="center"/>
        </w:trPr>
        <w:tc>
          <w:tcPr>
            <w:tcW w:w="2836" w:type="dxa"/>
            <w:vAlign w:val="center"/>
          </w:tcPr>
          <w:p w:rsidR="00117E8C" w:rsidRPr="007C519C" w:rsidRDefault="00117E8C" w:rsidP="00AC6C11">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14B6E105" wp14:editId="46E34B6B">
                  <wp:extent cx="1714500" cy="809625"/>
                  <wp:effectExtent l="0" t="0" r="0" b="9525"/>
                  <wp:docPr id="1" name="Image 1" descr="imag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00" cy="809625"/>
                          </a:xfrm>
                          <a:prstGeom prst="rect">
                            <a:avLst/>
                          </a:prstGeom>
                          <a:noFill/>
                          <a:ln>
                            <a:noFill/>
                          </a:ln>
                        </pic:spPr>
                      </pic:pic>
                    </a:graphicData>
                  </a:graphic>
                </wp:inline>
              </w:drawing>
            </w:r>
          </w:p>
          <w:p w:rsidR="00117E8C" w:rsidRPr="007C519C" w:rsidRDefault="00117E8C" w:rsidP="00AC6C11">
            <w:pPr>
              <w:spacing w:after="0" w:line="240" w:lineRule="auto"/>
              <w:rPr>
                <w:rFonts w:ascii="Times New Roman" w:eastAsia="Times New Roman" w:hAnsi="Times New Roman" w:cs="Times New Roman"/>
                <w:sz w:val="24"/>
                <w:szCs w:val="24"/>
                <w:lang w:eastAsia="fr-FR"/>
              </w:rPr>
            </w:pPr>
          </w:p>
        </w:tc>
        <w:tc>
          <w:tcPr>
            <w:tcW w:w="8222" w:type="dxa"/>
          </w:tcPr>
          <w:p w:rsidR="00117E8C" w:rsidRPr="007C519C" w:rsidRDefault="00117E8C" w:rsidP="00AC6C11">
            <w:pPr>
              <w:spacing w:after="0" w:line="240" w:lineRule="auto"/>
              <w:rPr>
                <w:rFonts w:ascii="Times New Roman" w:eastAsia="Times New Roman" w:hAnsi="Times New Roman" w:cs="Times New Roman"/>
                <w:sz w:val="24"/>
                <w:szCs w:val="24"/>
                <w:lang w:eastAsia="fr-FR"/>
              </w:rPr>
            </w:pPr>
          </w:p>
          <w:p w:rsidR="00117E8C" w:rsidRPr="007C519C" w:rsidRDefault="00117E8C" w:rsidP="00AC6C11">
            <w:pPr>
              <w:spacing w:after="0" w:line="240" w:lineRule="auto"/>
              <w:rPr>
                <w:rFonts w:ascii="Times New Roman" w:eastAsia="Times New Roman" w:hAnsi="Times New Roman" w:cs="Times New Roman"/>
                <w:vanish/>
                <w:sz w:val="24"/>
                <w:szCs w:val="24"/>
                <w:lang w:eastAsia="fr-FR"/>
              </w:rPr>
            </w:pPr>
            <w:r w:rsidRPr="007C519C">
              <w:rPr>
                <w:rFonts w:ascii="Bookman Old Style" w:eastAsia="Times New Roman" w:hAnsi="Bookman Old Style" w:cs="Times New Roman"/>
                <w:b/>
                <w:bCs/>
                <w:color w:val="000000"/>
                <w:sz w:val="12"/>
                <w:szCs w:val="12"/>
                <w:lang w:eastAsia="fr-FR"/>
              </w:rPr>
              <w:t> </w:t>
            </w:r>
            <w:proofErr w:type="spellStart"/>
            <w:r w:rsidRPr="007C519C">
              <w:rPr>
                <w:rFonts w:ascii="Bookman Old Style" w:eastAsia="Times New Roman" w:hAnsi="Bookman Old Style" w:cs="Times New Roman"/>
                <w:b/>
                <w:bCs/>
                <w:color w:val="000000"/>
                <w:sz w:val="24"/>
                <w:szCs w:val="12"/>
                <w:lang w:eastAsia="fr-FR"/>
              </w:rPr>
              <w:t>ASsociation</w:t>
            </w:r>
            <w:proofErr w:type="spellEnd"/>
            <w:r w:rsidRPr="007C519C">
              <w:rPr>
                <w:rFonts w:ascii="Bookman Old Style" w:eastAsia="Times New Roman" w:hAnsi="Bookman Old Style" w:cs="Times New Roman"/>
                <w:b/>
                <w:bCs/>
                <w:color w:val="000000"/>
                <w:sz w:val="24"/>
                <w:szCs w:val="12"/>
                <w:lang w:eastAsia="fr-FR"/>
              </w:rPr>
              <w:t xml:space="preserve"> Pour les Initiatives Collectives de Nîmes Métropole </w:t>
            </w:r>
          </w:p>
          <w:p w:rsidR="00117E8C" w:rsidRPr="007C519C" w:rsidRDefault="00117E8C" w:rsidP="00AC6C11">
            <w:pPr>
              <w:spacing w:after="0" w:line="240" w:lineRule="auto"/>
              <w:rPr>
                <w:rFonts w:ascii="Times New Roman" w:eastAsia="Times New Roman" w:hAnsi="Times New Roman" w:cs="Times New Roman"/>
                <w:sz w:val="24"/>
                <w:szCs w:val="24"/>
                <w:lang w:eastAsia="fr-FR"/>
              </w:rPr>
            </w:pPr>
          </w:p>
          <w:p w:rsidR="00117E8C" w:rsidRPr="007C519C" w:rsidRDefault="00117E8C" w:rsidP="00AC6C11">
            <w:pPr>
              <w:spacing w:after="0" w:line="240" w:lineRule="auto"/>
              <w:rPr>
                <w:rFonts w:ascii="Times New Roman" w:eastAsia="Times New Roman" w:hAnsi="Times New Roman" w:cs="Times New Roman"/>
                <w:sz w:val="24"/>
                <w:szCs w:val="24"/>
                <w:lang w:eastAsia="fr-FR"/>
              </w:rPr>
            </w:pPr>
          </w:p>
          <w:p w:rsidR="00117E8C" w:rsidRPr="007C519C" w:rsidRDefault="00117E8C" w:rsidP="00AC6C11">
            <w:pPr>
              <w:keepNext/>
              <w:spacing w:after="0" w:line="240" w:lineRule="auto"/>
              <w:jc w:val="center"/>
              <w:outlineLvl w:val="0"/>
              <w:rPr>
                <w:rFonts w:ascii="Bookman Old Style" w:eastAsia="Times New Roman" w:hAnsi="Bookman Old Style" w:cs="Times New Roman"/>
                <w:b/>
                <w:bCs/>
                <w:vanish/>
                <w:sz w:val="36"/>
                <w:szCs w:val="14"/>
                <w:lang w:eastAsia="fr-FR"/>
              </w:rPr>
            </w:pPr>
            <w:r w:rsidRPr="007C519C">
              <w:rPr>
                <w:rFonts w:ascii="Bookman Old Style" w:eastAsia="Times New Roman" w:hAnsi="Bookman Old Style" w:cs="Times New Roman"/>
                <w:b/>
                <w:bCs/>
                <w:sz w:val="36"/>
                <w:szCs w:val="14"/>
                <w:lang w:eastAsia="fr-FR"/>
              </w:rPr>
              <w:t>ASPIC</w:t>
            </w:r>
          </w:p>
          <w:p w:rsidR="00117E8C" w:rsidRPr="007C519C" w:rsidRDefault="00117E8C" w:rsidP="00AC6C11">
            <w:pPr>
              <w:spacing w:after="0" w:line="240" w:lineRule="auto"/>
              <w:jc w:val="center"/>
              <w:rPr>
                <w:rFonts w:ascii="Times New Roman" w:eastAsia="Times New Roman" w:hAnsi="Times New Roman" w:cs="Times New Roman"/>
                <w:sz w:val="36"/>
                <w:szCs w:val="24"/>
                <w:lang w:eastAsia="fr-FR"/>
              </w:rPr>
            </w:pPr>
          </w:p>
          <w:p w:rsidR="00117E8C" w:rsidRPr="007C519C" w:rsidRDefault="00117E8C" w:rsidP="00AC6C11">
            <w:pPr>
              <w:spacing w:after="0" w:line="240" w:lineRule="auto"/>
              <w:rPr>
                <w:rFonts w:ascii="Times New Roman" w:eastAsia="Times New Roman" w:hAnsi="Times New Roman" w:cs="Times New Roman"/>
                <w:sz w:val="24"/>
                <w:szCs w:val="24"/>
                <w:lang w:eastAsia="fr-FR"/>
              </w:rPr>
            </w:pPr>
          </w:p>
          <w:p w:rsidR="00117E8C" w:rsidRPr="007C519C" w:rsidRDefault="00117E8C" w:rsidP="00AC6C11">
            <w:pPr>
              <w:spacing w:after="0" w:line="240" w:lineRule="auto"/>
              <w:jc w:val="center"/>
              <w:rPr>
                <w:rFonts w:ascii="Arial" w:eastAsia="Times New Roman" w:hAnsi="Arial" w:cs="Arial"/>
                <w:b/>
                <w:bCs/>
                <w:vanish/>
                <w:color w:val="000000"/>
                <w:sz w:val="20"/>
                <w:szCs w:val="10"/>
                <w:lang w:eastAsia="fr-FR"/>
              </w:rPr>
            </w:pPr>
            <w:r w:rsidRPr="007C519C">
              <w:rPr>
                <w:rFonts w:ascii="Arial" w:eastAsia="Times New Roman" w:hAnsi="Arial" w:cs="Arial"/>
                <w:color w:val="000000"/>
                <w:sz w:val="20"/>
                <w:szCs w:val="10"/>
                <w:lang w:eastAsia="fr-FR"/>
              </w:rPr>
              <w:t>Aspic Nîmes Métropole. Adresse : 4 rue Crémieux 30000 NIMES</w:t>
            </w:r>
            <w:r w:rsidRPr="007C519C">
              <w:rPr>
                <w:rFonts w:ascii="Arial" w:eastAsia="Times New Roman" w:hAnsi="Arial" w:cs="Arial"/>
                <w:color w:val="000000"/>
                <w:sz w:val="20"/>
                <w:szCs w:val="10"/>
                <w:lang w:eastAsia="fr-FR"/>
              </w:rPr>
              <w:br/>
            </w:r>
          </w:p>
          <w:p w:rsidR="00117E8C" w:rsidRPr="007C519C" w:rsidRDefault="00117E8C" w:rsidP="00AC6C11">
            <w:pPr>
              <w:spacing w:after="0" w:line="240" w:lineRule="auto"/>
              <w:jc w:val="center"/>
              <w:rPr>
                <w:rFonts w:ascii="Arial" w:eastAsia="Times New Roman" w:hAnsi="Arial" w:cs="Arial"/>
                <w:b/>
                <w:bCs/>
                <w:vanish/>
                <w:sz w:val="20"/>
                <w:szCs w:val="10"/>
                <w:lang w:eastAsia="fr-FR"/>
              </w:rPr>
            </w:pPr>
            <w:r w:rsidRPr="007C519C">
              <w:rPr>
                <w:rFonts w:ascii="Arial" w:eastAsia="Times New Roman" w:hAnsi="Arial" w:cs="Arial"/>
                <w:color w:val="000000"/>
                <w:sz w:val="20"/>
                <w:szCs w:val="10"/>
                <w:lang w:eastAsia="fr-FR"/>
              </w:rPr>
              <w:t>Tél. 06 72 79 71 15</w:t>
            </w:r>
          </w:p>
          <w:p w:rsidR="00117E8C" w:rsidRPr="007C519C" w:rsidRDefault="00117E8C" w:rsidP="00AC6C11">
            <w:pPr>
              <w:spacing w:after="0" w:line="240" w:lineRule="auto"/>
              <w:jc w:val="center"/>
              <w:rPr>
                <w:rFonts w:ascii="Arial" w:eastAsia="Times New Roman" w:hAnsi="Arial" w:cs="Arial"/>
                <w:sz w:val="20"/>
                <w:szCs w:val="10"/>
                <w:lang w:eastAsia="fr-FR"/>
              </w:rPr>
            </w:pPr>
            <w:r w:rsidRPr="007C519C">
              <w:rPr>
                <w:rFonts w:ascii="Arial" w:eastAsia="Times New Roman" w:hAnsi="Arial" w:cs="Arial"/>
                <w:color w:val="000000"/>
                <w:sz w:val="20"/>
                <w:szCs w:val="10"/>
                <w:lang w:eastAsia="fr-FR"/>
              </w:rPr>
              <w:t> </w:t>
            </w:r>
            <w:r w:rsidRPr="007C519C">
              <w:rPr>
                <w:rFonts w:ascii="Arial" w:eastAsia="Times New Roman" w:hAnsi="Arial" w:cs="Arial"/>
                <w:color w:val="000000"/>
                <w:sz w:val="20"/>
                <w:szCs w:val="10"/>
                <w:lang w:eastAsia="fr-FR"/>
              </w:rPr>
              <w:br/>
              <w:t>Courriel : aspicnimes@hotmail.fr</w:t>
            </w:r>
            <w:r w:rsidRPr="007C519C">
              <w:rPr>
                <w:rFonts w:ascii="Arial" w:eastAsia="Times New Roman" w:hAnsi="Arial" w:cs="Arial"/>
                <w:sz w:val="20"/>
                <w:szCs w:val="10"/>
                <w:lang w:eastAsia="fr-FR"/>
              </w:rPr>
              <w:t xml:space="preserve"> </w:t>
            </w:r>
          </w:p>
          <w:p w:rsidR="00117E8C" w:rsidRPr="007C519C" w:rsidRDefault="00117E8C" w:rsidP="00AC6C11">
            <w:pPr>
              <w:spacing w:after="0" w:line="240" w:lineRule="auto"/>
              <w:jc w:val="center"/>
              <w:rPr>
                <w:rFonts w:ascii="Arial" w:eastAsia="Times New Roman" w:hAnsi="Arial" w:cs="Arial"/>
                <w:sz w:val="20"/>
                <w:szCs w:val="10"/>
                <w:lang w:eastAsia="fr-FR"/>
              </w:rPr>
            </w:pPr>
          </w:p>
          <w:p w:rsidR="00117E8C" w:rsidRPr="007C519C" w:rsidRDefault="00117E8C" w:rsidP="00AC6C11">
            <w:pPr>
              <w:spacing w:after="0" w:line="240" w:lineRule="auto"/>
              <w:jc w:val="center"/>
              <w:rPr>
                <w:rFonts w:ascii="Times New Roman" w:eastAsia="Times New Roman" w:hAnsi="Times New Roman" w:cs="Times New Roman"/>
                <w:vanish/>
                <w:sz w:val="24"/>
                <w:szCs w:val="24"/>
                <w:lang w:eastAsia="fr-FR"/>
              </w:rPr>
            </w:pPr>
          </w:p>
          <w:p w:rsidR="00117E8C" w:rsidRPr="007C519C" w:rsidRDefault="00117E8C" w:rsidP="00AC6C11">
            <w:pPr>
              <w:spacing w:after="0" w:line="240" w:lineRule="auto"/>
              <w:rPr>
                <w:rFonts w:ascii="Times New Roman" w:eastAsia="Times New Roman" w:hAnsi="Times New Roman" w:cs="Times New Roman"/>
                <w:sz w:val="24"/>
                <w:szCs w:val="24"/>
                <w:lang w:eastAsia="fr-FR"/>
              </w:rPr>
            </w:pPr>
          </w:p>
        </w:tc>
      </w:tr>
    </w:tbl>
    <w:p w:rsidR="00117E8C" w:rsidRDefault="00117E8C" w:rsidP="00117E8C">
      <w:pPr>
        <w:rPr>
          <w:b/>
        </w:rPr>
      </w:pPr>
      <w:r>
        <w:rPr>
          <w:b/>
        </w:rPr>
        <w:t>Association affiliée à la FEDERATION NATIONALE DES ASSOCIATIONS D’USAGERS DES TRANSPORTS, F.N.A.U.T</w:t>
      </w:r>
    </w:p>
    <w:p w:rsidR="00117E8C" w:rsidRDefault="00117E8C" w:rsidP="00117E8C">
      <w:pPr>
        <w:rPr>
          <w:sz w:val="24"/>
          <w:szCs w:val="24"/>
        </w:rPr>
      </w:pPr>
      <w:r>
        <w:rPr>
          <w:b/>
        </w:rPr>
        <w:tab/>
      </w:r>
      <w:r>
        <w:rPr>
          <w:b/>
        </w:rPr>
        <w:tab/>
      </w:r>
      <w:r>
        <w:rPr>
          <w:b/>
        </w:rPr>
        <w:tab/>
      </w:r>
      <w:r>
        <w:rPr>
          <w:b/>
        </w:rPr>
        <w:tab/>
      </w:r>
      <w:r>
        <w:rPr>
          <w:b/>
        </w:rPr>
        <w:tab/>
      </w:r>
      <w:r>
        <w:rPr>
          <w:b/>
        </w:rPr>
        <w:tab/>
      </w:r>
      <w:r>
        <w:rPr>
          <w:b/>
        </w:rPr>
        <w:tab/>
      </w:r>
      <w:r>
        <w:rPr>
          <w:b/>
        </w:rPr>
        <w:tab/>
      </w:r>
      <w:r>
        <w:rPr>
          <w:sz w:val="24"/>
          <w:szCs w:val="24"/>
        </w:rPr>
        <w:t>Nîmes le 16 mars 2017</w:t>
      </w:r>
    </w:p>
    <w:p w:rsidR="00117E8C" w:rsidRDefault="00117E8C" w:rsidP="00117E8C">
      <w:pPr>
        <w:rPr>
          <w:sz w:val="24"/>
          <w:szCs w:val="24"/>
        </w:rPr>
      </w:pPr>
    </w:p>
    <w:p w:rsidR="00117E8C" w:rsidRDefault="00D87BF8" w:rsidP="00117E8C">
      <w:pPr>
        <w:rPr>
          <w:sz w:val="24"/>
          <w:szCs w:val="24"/>
        </w:rPr>
      </w:pPr>
      <w:r>
        <w:rPr>
          <w:sz w:val="24"/>
          <w:szCs w:val="24"/>
        </w:rPr>
        <w:t>Madame Jeanine RIOU, Messieurs</w:t>
      </w:r>
      <w:r w:rsidR="00117E8C">
        <w:rPr>
          <w:sz w:val="24"/>
          <w:szCs w:val="24"/>
        </w:rPr>
        <w:t xml:space="preserve"> Yves FLORAND et Alain ORIOL, </w:t>
      </w:r>
    </w:p>
    <w:p w:rsidR="00117E8C" w:rsidRDefault="00117E8C" w:rsidP="00117E8C">
      <w:pPr>
        <w:rPr>
          <w:sz w:val="24"/>
          <w:szCs w:val="24"/>
        </w:rPr>
      </w:pPr>
      <w:r>
        <w:rPr>
          <w:sz w:val="24"/>
          <w:szCs w:val="24"/>
        </w:rPr>
        <w:t>Commissaires Enquêteurs</w:t>
      </w:r>
    </w:p>
    <w:p w:rsidR="00117E8C" w:rsidRDefault="00117E8C" w:rsidP="00117E8C">
      <w:pPr>
        <w:rPr>
          <w:sz w:val="24"/>
          <w:szCs w:val="24"/>
        </w:rPr>
      </w:pPr>
    </w:p>
    <w:p w:rsidR="00AE749B" w:rsidRDefault="00117E8C" w:rsidP="00117E8C">
      <w:pPr>
        <w:rPr>
          <w:sz w:val="24"/>
          <w:szCs w:val="24"/>
        </w:rPr>
      </w:pPr>
      <w:r>
        <w:rPr>
          <w:sz w:val="24"/>
          <w:szCs w:val="24"/>
        </w:rPr>
        <w:tab/>
        <w:t xml:space="preserve">Je vous prie de trouver ci-jointe une </w:t>
      </w:r>
      <w:r w:rsidR="00FD17B2">
        <w:rPr>
          <w:sz w:val="24"/>
          <w:szCs w:val="24"/>
        </w:rPr>
        <w:t>contribution</w:t>
      </w:r>
      <w:r>
        <w:rPr>
          <w:sz w:val="24"/>
          <w:szCs w:val="24"/>
        </w:rPr>
        <w:t xml:space="preserve"> de notre association à l’Enquête publique.</w:t>
      </w:r>
    </w:p>
    <w:p w:rsidR="00117E8C" w:rsidRDefault="00117E8C" w:rsidP="00117E8C">
      <w:pPr>
        <w:rPr>
          <w:sz w:val="24"/>
          <w:szCs w:val="24"/>
        </w:rPr>
      </w:pPr>
      <w:r>
        <w:rPr>
          <w:sz w:val="24"/>
          <w:szCs w:val="24"/>
        </w:rPr>
        <w:t>Les membres de l’association, à titre individuel, déposent évidemment leurs appréciations.</w:t>
      </w:r>
    </w:p>
    <w:p w:rsidR="00117E8C" w:rsidRDefault="00117E8C" w:rsidP="00117E8C">
      <w:pPr>
        <w:rPr>
          <w:sz w:val="24"/>
          <w:szCs w:val="24"/>
        </w:rPr>
      </w:pPr>
      <w:r w:rsidRPr="007F6A71">
        <w:rPr>
          <w:b/>
          <w:sz w:val="24"/>
          <w:szCs w:val="24"/>
        </w:rPr>
        <w:t>L’association, en déposa</w:t>
      </w:r>
      <w:r w:rsidR="00360EDE" w:rsidRPr="007F6A71">
        <w:rPr>
          <w:b/>
          <w:sz w:val="24"/>
          <w:szCs w:val="24"/>
        </w:rPr>
        <w:t>nt la sienne</w:t>
      </w:r>
      <w:r w:rsidR="00360EDE">
        <w:rPr>
          <w:sz w:val="24"/>
          <w:szCs w:val="24"/>
        </w:rPr>
        <w:t xml:space="preserve">, tient à rappeler </w:t>
      </w:r>
      <w:r>
        <w:rPr>
          <w:sz w:val="24"/>
          <w:szCs w:val="24"/>
        </w:rPr>
        <w:t>sa position de fond</w:t>
      </w:r>
      <w:r w:rsidR="00AE749B">
        <w:rPr>
          <w:sz w:val="24"/>
          <w:szCs w:val="24"/>
        </w:rPr>
        <w:t xml:space="preserve"> dans la défense des usagers du transport</w:t>
      </w:r>
      <w:r>
        <w:rPr>
          <w:sz w:val="24"/>
          <w:szCs w:val="24"/>
        </w:rPr>
        <w:t> : la connaissance et la représentation des usages de mobilité est le point origine de notre intér</w:t>
      </w:r>
      <w:r w:rsidR="00AE749B">
        <w:rPr>
          <w:sz w:val="24"/>
          <w:szCs w:val="24"/>
        </w:rPr>
        <w:t>êt quand il s’agit de définir l’</w:t>
      </w:r>
      <w:r>
        <w:rPr>
          <w:sz w:val="24"/>
          <w:szCs w:val="24"/>
        </w:rPr>
        <w:t xml:space="preserve"> intérêt général d’une des infrastructures du déplacement. Une DUP intervenant à l’issue de votre rapport serait un acte qui affirme</w:t>
      </w:r>
      <w:r w:rsidR="00A82649">
        <w:rPr>
          <w:sz w:val="24"/>
          <w:szCs w:val="24"/>
        </w:rPr>
        <w:t>rait</w:t>
      </w:r>
      <w:r>
        <w:rPr>
          <w:sz w:val="24"/>
          <w:szCs w:val="24"/>
        </w:rPr>
        <w:t xml:space="preserve"> que l’intérêt de tous les nîmois, mobiles à pied, à vélo, en voiture et en train, voire en avion, est pris en compte et respecté. Et qu’un </w:t>
      </w:r>
      <w:r w:rsidRPr="00D14DD0">
        <w:rPr>
          <w:sz w:val="24"/>
          <w:szCs w:val="24"/>
          <w:u w:val="single"/>
        </w:rPr>
        <w:t>nouveau projet public</w:t>
      </w:r>
      <w:r>
        <w:rPr>
          <w:sz w:val="24"/>
          <w:szCs w:val="24"/>
        </w:rPr>
        <w:t xml:space="preserve"> est bien la base d’un </w:t>
      </w:r>
      <w:r w:rsidRPr="00D14DD0">
        <w:rPr>
          <w:sz w:val="24"/>
          <w:szCs w:val="24"/>
          <w:u w:val="single"/>
        </w:rPr>
        <w:t>meilleur service public</w:t>
      </w:r>
      <w:r>
        <w:rPr>
          <w:sz w:val="24"/>
          <w:szCs w:val="24"/>
        </w:rPr>
        <w:t xml:space="preserve"> rendu aux usagers. Ceci reste à démontrer, </w:t>
      </w:r>
      <w:r w:rsidR="003203E2">
        <w:rPr>
          <w:sz w:val="24"/>
          <w:szCs w:val="24"/>
        </w:rPr>
        <w:t>c’est l’objet de l’Enquête, c’est votre responsabilité de dire s’il en est ainsi selon vous, oui ou non.</w:t>
      </w:r>
    </w:p>
    <w:p w:rsidR="00117E8C" w:rsidRDefault="00117E8C" w:rsidP="00117E8C">
      <w:pPr>
        <w:rPr>
          <w:sz w:val="24"/>
          <w:szCs w:val="24"/>
        </w:rPr>
      </w:pPr>
      <w:r>
        <w:rPr>
          <w:sz w:val="24"/>
          <w:szCs w:val="24"/>
        </w:rPr>
        <w:t xml:space="preserve">Nous ne sommes donc pas des oppositionnels à des projets qui remplissent </w:t>
      </w:r>
      <w:r w:rsidR="00AE749B">
        <w:rPr>
          <w:sz w:val="24"/>
          <w:szCs w:val="24"/>
        </w:rPr>
        <w:t xml:space="preserve">vraiment </w:t>
      </w:r>
      <w:r>
        <w:rPr>
          <w:sz w:val="24"/>
          <w:szCs w:val="24"/>
        </w:rPr>
        <w:t xml:space="preserve">ces objectifs, </w:t>
      </w:r>
      <w:r w:rsidR="00AE749B">
        <w:rPr>
          <w:sz w:val="24"/>
          <w:szCs w:val="24"/>
        </w:rPr>
        <w:t xml:space="preserve">et </w:t>
      </w:r>
      <w:r>
        <w:rPr>
          <w:sz w:val="24"/>
          <w:szCs w:val="24"/>
        </w:rPr>
        <w:t xml:space="preserve">nous soutenons la réflexion collective sur les déplacements les plus aptes au développement durable du bassin de vie nîmois. </w:t>
      </w:r>
      <w:r w:rsidR="003203E2">
        <w:rPr>
          <w:sz w:val="24"/>
          <w:szCs w:val="24"/>
        </w:rPr>
        <w:t>En n’ignorant pas les contraintes extérieures.</w:t>
      </w:r>
    </w:p>
    <w:p w:rsidR="00F23D12" w:rsidRPr="00794E76" w:rsidRDefault="00117E8C" w:rsidP="00F23D12">
      <w:pPr>
        <w:rPr>
          <w:b/>
          <w:sz w:val="24"/>
          <w:szCs w:val="24"/>
        </w:rPr>
      </w:pPr>
      <w:r>
        <w:rPr>
          <w:sz w:val="24"/>
          <w:szCs w:val="24"/>
        </w:rPr>
        <w:t xml:space="preserve">C’est dans cet esprit que </w:t>
      </w:r>
      <w:r w:rsidR="00D87BF8">
        <w:rPr>
          <w:sz w:val="24"/>
          <w:szCs w:val="24"/>
        </w:rPr>
        <w:t>peuvent être lues nos</w:t>
      </w:r>
      <w:r>
        <w:rPr>
          <w:sz w:val="24"/>
          <w:szCs w:val="24"/>
        </w:rPr>
        <w:t xml:space="preserve"> observations. </w:t>
      </w:r>
      <w:r w:rsidR="00D87BF8">
        <w:rPr>
          <w:sz w:val="24"/>
          <w:szCs w:val="24"/>
        </w:rPr>
        <w:t xml:space="preserve">Critiques, </w:t>
      </w:r>
      <w:r>
        <w:rPr>
          <w:sz w:val="24"/>
          <w:szCs w:val="24"/>
        </w:rPr>
        <w:t xml:space="preserve">elles sont souvent au diapason de l’Autorité Environnementale, dont le délibéré négatif de décembre 2016 ne pouvait que déclencher un grand intérêt pour l’Enquête actuelle. </w:t>
      </w:r>
      <w:r w:rsidR="00AE749B">
        <w:rPr>
          <w:sz w:val="24"/>
          <w:szCs w:val="24"/>
        </w:rPr>
        <w:t>Une évaluation du changement ne p</w:t>
      </w:r>
      <w:r w:rsidR="00D87BF8">
        <w:rPr>
          <w:sz w:val="24"/>
          <w:szCs w:val="24"/>
        </w:rPr>
        <w:t>eut</w:t>
      </w:r>
      <w:r w:rsidR="00AE749B">
        <w:rPr>
          <w:sz w:val="24"/>
          <w:szCs w:val="24"/>
        </w:rPr>
        <w:t xml:space="preserve"> se construire qu’à partir de la situation actuelle,</w:t>
      </w:r>
      <w:r w:rsidR="00D87BF8">
        <w:rPr>
          <w:sz w:val="24"/>
          <w:szCs w:val="24"/>
        </w:rPr>
        <w:t xml:space="preserve"> qui ne fait l’objet </w:t>
      </w:r>
      <w:r w:rsidR="00D87BF8">
        <w:rPr>
          <w:sz w:val="24"/>
          <w:szCs w:val="24"/>
        </w:rPr>
        <w:lastRenderedPageBreak/>
        <w:t>d’aucun scénario dans l’enquête, ce qui invalide les comparatifs</w:t>
      </w:r>
      <w:r w:rsidR="00B90010">
        <w:rPr>
          <w:sz w:val="24"/>
          <w:szCs w:val="24"/>
        </w:rPr>
        <w:t xml:space="preserve"> et toute analyse coûts/avantages pourtant obligatoire</w:t>
      </w:r>
      <w:r w:rsidR="00A82649">
        <w:rPr>
          <w:sz w:val="24"/>
          <w:szCs w:val="24"/>
        </w:rPr>
        <w:t> </w:t>
      </w:r>
      <w:r w:rsidR="00434AFC">
        <w:rPr>
          <w:sz w:val="24"/>
          <w:szCs w:val="24"/>
        </w:rPr>
        <w:t>; il</w:t>
      </w:r>
      <w:r w:rsidR="00D87BF8">
        <w:rPr>
          <w:sz w:val="24"/>
          <w:szCs w:val="24"/>
        </w:rPr>
        <w:t xml:space="preserve"> faut </w:t>
      </w:r>
      <w:r w:rsidR="00A82649">
        <w:rPr>
          <w:sz w:val="24"/>
          <w:szCs w:val="24"/>
        </w:rPr>
        <w:t xml:space="preserve">donc </w:t>
      </w:r>
      <w:r w:rsidR="00D87BF8">
        <w:rPr>
          <w:sz w:val="24"/>
          <w:szCs w:val="24"/>
        </w:rPr>
        <w:t xml:space="preserve">repartir des </w:t>
      </w:r>
      <w:r w:rsidR="00D87BF8" w:rsidRPr="00794E76">
        <w:rPr>
          <w:b/>
          <w:sz w:val="24"/>
          <w:szCs w:val="24"/>
        </w:rPr>
        <w:t>faits constatables :</w:t>
      </w:r>
    </w:p>
    <w:p w:rsidR="000B69BC" w:rsidRPr="00F23D12" w:rsidRDefault="00117E8C" w:rsidP="00F23D12">
      <w:pPr>
        <w:pStyle w:val="Paragraphedeliste"/>
        <w:numPr>
          <w:ilvl w:val="0"/>
          <w:numId w:val="1"/>
        </w:numPr>
        <w:rPr>
          <w:sz w:val="24"/>
          <w:szCs w:val="24"/>
        </w:rPr>
      </w:pPr>
      <w:r w:rsidRPr="00F23D12">
        <w:rPr>
          <w:sz w:val="24"/>
          <w:szCs w:val="24"/>
        </w:rPr>
        <w:t>Un tronçon déjà construit d’une ligne nouvelle à l’origine conçue comme ligne de fret sûre et rapide (220kmh) en transversale européenne, et dont la mixité avec le trafic voyageur que le doublet de ligne devrait faciliter est contrecarré, pour l’exploitant, par un tracé qui interdit la desserte d</w:t>
      </w:r>
      <w:r w:rsidR="00D87BF8">
        <w:rPr>
          <w:sz w:val="24"/>
          <w:szCs w:val="24"/>
        </w:rPr>
        <w:t>e la gare centre de Montpellier et le retour de Nîmes</w:t>
      </w:r>
    </w:p>
    <w:p w:rsidR="00C772C8" w:rsidRDefault="00117E8C" w:rsidP="00117E8C">
      <w:pPr>
        <w:numPr>
          <w:ilvl w:val="0"/>
          <w:numId w:val="1"/>
        </w:numPr>
        <w:spacing w:after="160" w:line="259" w:lineRule="auto"/>
        <w:contextualSpacing/>
        <w:rPr>
          <w:sz w:val="24"/>
          <w:szCs w:val="24"/>
        </w:rPr>
      </w:pPr>
      <w:r w:rsidRPr="00117E8C">
        <w:rPr>
          <w:sz w:val="24"/>
          <w:szCs w:val="24"/>
        </w:rPr>
        <w:t>Deux gares voyageurs à Montpellier : une gare centre avec une fréquentation de plus d</w:t>
      </w:r>
      <w:r w:rsidR="00C772C8">
        <w:rPr>
          <w:sz w:val="24"/>
          <w:szCs w:val="24"/>
        </w:rPr>
        <w:t>e 8 millions de voyageurs en 201</w:t>
      </w:r>
      <w:r w:rsidRPr="00117E8C">
        <w:rPr>
          <w:sz w:val="24"/>
          <w:szCs w:val="24"/>
        </w:rPr>
        <w:t>5 et 13 millions d’usagers,</w:t>
      </w:r>
      <w:r w:rsidR="00C772C8">
        <w:rPr>
          <w:sz w:val="24"/>
          <w:szCs w:val="24"/>
        </w:rPr>
        <w:t xml:space="preserve"> polarité urbaine extrêmement forte,</w:t>
      </w:r>
      <w:r w:rsidRPr="00117E8C">
        <w:rPr>
          <w:sz w:val="24"/>
          <w:szCs w:val="24"/>
        </w:rPr>
        <w:t xml:space="preserve"> et une gare dont n’est construit que le gros œuvre et dont a) la desserte serait limitée à 4 TGV jour </w:t>
      </w:r>
      <w:r w:rsidRPr="000B69BC">
        <w:rPr>
          <w:sz w:val="24"/>
          <w:szCs w:val="24"/>
        </w:rPr>
        <w:t xml:space="preserve">pour une durée </w:t>
      </w:r>
      <w:r w:rsidR="007218D4" w:rsidRPr="000B69BC">
        <w:rPr>
          <w:sz w:val="24"/>
          <w:szCs w:val="24"/>
        </w:rPr>
        <w:t>indéterminée et</w:t>
      </w:r>
      <w:r w:rsidRPr="000B69BC">
        <w:rPr>
          <w:sz w:val="24"/>
          <w:szCs w:val="24"/>
        </w:rPr>
        <w:t xml:space="preserve"> </w:t>
      </w:r>
      <w:r w:rsidR="00434AFC">
        <w:rPr>
          <w:sz w:val="24"/>
          <w:szCs w:val="24"/>
        </w:rPr>
        <w:t>b)</w:t>
      </w:r>
      <w:r w:rsidR="00C84B72">
        <w:rPr>
          <w:sz w:val="24"/>
          <w:szCs w:val="24"/>
        </w:rPr>
        <w:t xml:space="preserve"> </w:t>
      </w:r>
      <w:r w:rsidRPr="000B69BC">
        <w:rPr>
          <w:sz w:val="24"/>
          <w:szCs w:val="24"/>
        </w:rPr>
        <w:t>dont la</w:t>
      </w:r>
      <w:r w:rsidRPr="00117E8C">
        <w:rPr>
          <w:sz w:val="24"/>
          <w:szCs w:val="24"/>
        </w:rPr>
        <w:t xml:space="preserve"> fréquentation d’usagers hors voyageurs n’est pas imaginable avant longtemps.</w:t>
      </w:r>
      <w:r w:rsidR="00C772C8">
        <w:rPr>
          <w:sz w:val="24"/>
          <w:szCs w:val="24"/>
        </w:rPr>
        <w:t xml:space="preserve"> Les associations d’usagers en ont dénoncé le bilan coût/avantages.</w:t>
      </w:r>
    </w:p>
    <w:p w:rsidR="00117E8C" w:rsidRPr="00117E8C" w:rsidRDefault="00C772C8" w:rsidP="00117E8C">
      <w:pPr>
        <w:numPr>
          <w:ilvl w:val="0"/>
          <w:numId w:val="1"/>
        </w:numPr>
        <w:spacing w:after="160" w:line="259" w:lineRule="auto"/>
        <w:contextualSpacing/>
        <w:rPr>
          <w:sz w:val="24"/>
          <w:szCs w:val="24"/>
        </w:rPr>
      </w:pPr>
      <w:r>
        <w:rPr>
          <w:sz w:val="24"/>
          <w:szCs w:val="24"/>
        </w:rPr>
        <w:t xml:space="preserve"> </w:t>
      </w:r>
    </w:p>
    <w:p w:rsidR="00117E8C" w:rsidRDefault="00117E8C" w:rsidP="00117E8C">
      <w:pPr>
        <w:spacing w:after="160" w:line="259" w:lineRule="auto"/>
        <w:ind w:left="720"/>
        <w:contextualSpacing/>
        <w:rPr>
          <w:sz w:val="24"/>
          <w:szCs w:val="24"/>
        </w:rPr>
      </w:pPr>
      <w:r w:rsidRPr="00117E8C">
        <w:rPr>
          <w:sz w:val="24"/>
          <w:szCs w:val="24"/>
        </w:rPr>
        <w:t>Une gare centre à Nîmes, avec une fréquentation de 3,8 millions de voyageurs en 2015, et plus de 8 millions d’usagers.  Données extraites de la base OPEN DATA de la SNCF, février 2017.</w:t>
      </w:r>
      <w:r w:rsidR="00C772C8">
        <w:rPr>
          <w:sz w:val="24"/>
          <w:szCs w:val="24"/>
        </w:rPr>
        <w:t xml:space="preserve"> Contrairement à ce que laisse entendre l’enquête, « l’étoile ferroviaire de Nîmes » est là et ne sera pas à Manduel</w:t>
      </w:r>
      <w:r w:rsidR="007218D4">
        <w:rPr>
          <w:sz w:val="24"/>
          <w:szCs w:val="24"/>
        </w:rPr>
        <w:t>. L</w:t>
      </w:r>
      <w:r w:rsidR="00C772C8">
        <w:rPr>
          <w:sz w:val="24"/>
          <w:szCs w:val="24"/>
        </w:rPr>
        <w:t>es usagers hors voyageurs attestent de l’attractivité directe des deux gares centre. Pour l’exploitant, comment ignorer cette clientèle ?</w:t>
      </w:r>
    </w:p>
    <w:p w:rsidR="00C772C8" w:rsidRPr="00117E8C" w:rsidRDefault="00C772C8" w:rsidP="00117E8C">
      <w:pPr>
        <w:spacing w:after="160" w:line="259" w:lineRule="auto"/>
        <w:ind w:left="720"/>
        <w:contextualSpacing/>
        <w:rPr>
          <w:sz w:val="24"/>
          <w:szCs w:val="24"/>
        </w:rPr>
      </w:pPr>
    </w:p>
    <w:p w:rsidR="00117E8C" w:rsidRDefault="00117E8C" w:rsidP="00117E8C">
      <w:pPr>
        <w:spacing w:after="160" w:line="259" w:lineRule="auto"/>
        <w:ind w:left="720"/>
        <w:contextualSpacing/>
        <w:rPr>
          <w:sz w:val="24"/>
          <w:szCs w:val="24"/>
        </w:rPr>
      </w:pPr>
      <w:r w:rsidRPr="00117E8C">
        <w:rPr>
          <w:sz w:val="24"/>
          <w:szCs w:val="24"/>
        </w:rPr>
        <w:t>Pour autant les deux gares centre ne sont pas saturées, c’est un fait</w:t>
      </w:r>
      <w:r w:rsidR="007218D4">
        <w:rPr>
          <w:sz w:val="24"/>
          <w:szCs w:val="24"/>
        </w:rPr>
        <w:t xml:space="preserve"> reconnu par l’Observatoire de la saturation en 2016</w:t>
      </w:r>
      <w:r w:rsidRPr="00117E8C">
        <w:rPr>
          <w:sz w:val="24"/>
          <w:szCs w:val="24"/>
        </w:rPr>
        <w:t xml:space="preserve">, et l’usage </w:t>
      </w:r>
      <w:r w:rsidR="007218D4">
        <w:rPr>
          <w:sz w:val="24"/>
          <w:szCs w:val="24"/>
        </w:rPr>
        <w:t xml:space="preserve">systématique </w:t>
      </w:r>
      <w:r w:rsidRPr="00117E8C">
        <w:rPr>
          <w:sz w:val="24"/>
          <w:szCs w:val="24"/>
        </w:rPr>
        <w:t>du CNM par le fret suffit à repousser à 30 ans l’hypothèse d’une saturation</w:t>
      </w:r>
    </w:p>
    <w:p w:rsidR="000B69BC" w:rsidRPr="00117E8C" w:rsidRDefault="000B69BC" w:rsidP="00117E8C">
      <w:pPr>
        <w:spacing w:after="160" w:line="259" w:lineRule="auto"/>
        <w:ind w:left="720"/>
        <w:contextualSpacing/>
        <w:rPr>
          <w:sz w:val="24"/>
          <w:szCs w:val="24"/>
        </w:rPr>
      </w:pPr>
    </w:p>
    <w:p w:rsidR="00794E76" w:rsidRDefault="00117E8C" w:rsidP="00117E8C">
      <w:pPr>
        <w:numPr>
          <w:ilvl w:val="0"/>
          <w:numId w:val="1"/>
        </w:numPr>
        <w:spacing w:after="160" w:line="259" w:lineRule="auto"/>
        <w:contextualSpacing/>
        <w:rPr>
          <w:sz w:val="24"/>
          <w:szCs w:val="24"/>
        </w:rPr>
      </w:pPr>
      <w:r w:rsidRPr="00794E76">
        <w:rPr>
          <w:b/>
          <w:sz w:val="24"/>
          <w:szCs w:val="24"/>
        </w:rPr>
        <w:t xml:space="preserve">Le reste est </w:t>
      </w:r>
      <w:r w:rsidR="00794E76" w:rsidRPr="00794E76">
        <w:rPr>
          <w:b/>
          <w:sz w:val="24"/>
          <w:szCs w:val="24"/>
        </w:rPr>
        <w:t>hypothétique</w:t>
      </w:r>
      <w:r w:rsidRPr="00794E76">
        <w:rPr>
          <w:b/>
          <w:sz w:val="24"/>
          <w:szCs w:val="24"/>
        </w:rPr>
        <w:t>, c’est ce qui caractérise le projet Manduel</w:t>
      </w:r>
      <w:r w:rsidRPr="00117E8C">
        <w:rPr>
          <w:sz w:val="24"/>
          <w:szCs w:val="24"/>
        </w:rPr>
        <w:t xml:space="preserve"> : </w:t>
      </w:r>
    </w:p>
    <w:p w:rsidR="00794E76" w:rsidRDefault="00794E76" w:rsidP="00117E8C">
      <w:pPr>
        <w:numPr>
          <w:ilvl w:val="0"/>
          <w:numId w:val="1"/>
        </w:numPr>
        <w:spacing w:after="160" w:line="259" w:lineRule="auto"/>
        <w:contextualSpacing/>
        <w:rPr>
          <w:sz w:val="24"/>
          <w:szCs w:val="24"/>
        </w:rPr>
      </w:pPr>
    </w:p>
    <w:p w:rsidR="00794E76" w:rsidRDefault="00117E8C" w:rsidP="00117E8C">
      <w:pPr>
        <w:numPr>
          <w:ilvl w:val="0"/>
          <w:numId w:val="1"/>
        </w:numPr>
        <w:spacing w:after="160" w:line="259" w:lineRule="auto"/>
        <w:contextualSpacing/>
        <w:rPr>
          <w:sz w:val="24"/>
          <w:szCs w:val="24"/>
        </w:rPr>
      </w:pPr>
      <w:r w:rsidRPr="00117E8C">
        <w:rPr>
          <w:sz w:val="24"/>
          <w:szCs w:val="24"/>
        </w:rPr>
        <w:t xml:space="preserve">a) une ZAD qui si elle a été </w:t>
      </w:r>
      <w:r w:rsidR="00794E76">
        <w:rPr>
          <w:sz w:val="24"/>
          <w:szCs w:val="24"/>
        </w:rPr>
        <w:t>re</w:t>
      </w:r>
      <w:r w:rsidRPr="00117E8C">
        <w:rPr>
          <w:sz w:val="24"/>
          <w:szCs w:val="24"/>
        </w:rPr>
        <w:t xml:space="preserve">mise en place </w:t>
      </w:r>
      <w:r w:rsidR="00794E76">
        <w:rPr>
          <w:sz w:val="24"/>
          <w:szCs w:val="24"/>
        </w:rPr>
        <w:t xml:space="preserve">en 2016 </w:t>
      </w:r>
      <w:r w:rsidRPr="00117E8C">
        <w:rPr>
          <w:sz w:val="24"/>
          <w:szCs w:val="24"/>
        </w:rPr>
        <w:t>n’est même pas dans le projet et dans l’Enquête publique, et qui sans gare et sans accès routiers au gabarit n</w:t>
      </w:r>
      <w:r w:rsidRPr="000B69BC">
        <w:rPr>
          <w:sz w:val="24"/>
          <w:szCs w:val="24"/>
        </w:rPr>
        <w:t>’est</w:t>
      </w:r>
      <w:r w:rsidRPr="00117E8C">
        <w:rPr>
          <w:sz w:val="24"/>
          <w:szCs w:val="24"/>
        </w:rPr>
        <w:t xml:space="preserve"> qu’une des surfaces de zone d’activités les moins bien placées de l’agglomération nîmoise ;</w:t>
      </w:r>
    </w:p>
    <w:p w:rsidR="00794E76" w:rsidRDefault="00117E8C" w:rsidP="00117E8C">
      <w:pPr>
        <w:numPr>
          <w:ilvl w:val="0"/>
          <w:numId w:val="1"/>
        </w:numPr>
        <w:spacing w:after="160" w:line="259" w:lineRule="auto"/>
        <w:contextualSpacing/>
        <w:rPr>
          <w:sz w:val="24"/>
          <w:szCs w:val="24"/>
        </w:rPr>
      </w:pPr>
      <w:r w:rsidRPr="00117E8C">
        <w:rPr>
          <w:sz w:val="24"/>
          <w:szCs w:val="24"/>
        </w:rPr>
        <w:t xml:space="preserve"> b) des acquisitions foncières r</w:t>
      </w:r>
      <w:r w:rsidR="007218D4">
        <w:rPr>
          <w:sz w:val="24"/>
          <w:szCs w:val="24"/>
        </w:rPr>
        <w:t>éalisées en anticipation pour des projets à ce jour imaginaires</w:t>
      </w:r>
      <w:r w:rsidRPr="00117E8C">
        <w:rPr>
          <w:sz w:val="24"/>
          <w:szCs w:val="24"/>
        </w:rPr>
        <w:t xml:space="preserve"> </w:t>
      </w:r>
    </w:p>
    <w:p w:rsidR="00117E8C" w:rsidRPr="00117E8C" w:rsidRDefault="00117E8C" w:rsidP="00117E8C">
      <w:pPr>
        <w:numPr>
          <w:ilvl w:val="0"/>
          <w:numId w:val="1"/>
        </w:numPr>
        <w:spacing w:after="160" w:line="259" w:lineRule="auto"/>
        <w:contextualSpacing/>
        <w:rPr>
          <w:sz w:val="24"/>
          <w:szCs w:val="24"/>
        </w:rPr>
      </w:pPr>
      <w:r w:rsidRPr="00117E8C">
        <w:rPr>
          <w:sz w:val="24"/>
          <w:szCs w:val="24"/>
        </w:rPr>
        <w:t>c) des piliers produits par Oc Via sans doute non référencés dans le mandat de partenariat….</w:t>
      </w:r>
    </w:p>
    <w:p w:rsidR="000B69BC" w:rsidRDefault="00117E8C" w:rsidP="00C772C8">
      <w:pPr>
        <w:spacing w:after="160" w:line="259" w:lineRule="auto"/>
        <w:ind w:left="708"/>
        <w:rPr>
          <w:sz w:val="24"/>
          <w:szCs w:val="24"/>
        </w:rPr>
      </w:pPr>
      <w:r w:rsidRPr="00117E8C">
        <w:rPr>
          <w:sz w:val="24"/>
          <w:szCs w:val="24"/>
        </w:rPr>
        <w:t>Rien dans les faits ci-dessus ne manifeste une urgence</w:t>
      </w:r>
      <w:r w:rsidRPr="000B69BC">
        <w:rPr>
          <w:sz w:val="24"/>
          <w:szCs w:val="24"/>
        </w:rPr>
        <w:t>, d’autant plus si on ajoute à cet état des lieux la stagnation, voire la baisse d</w:t>
      </w:r>
      <w:r w:rsidR="00C772C8">
        <w:rPr>
          <w:sz w:val="24"/>
          <w:szCs w:val="24"/>
        </w:rPr>
        <w:t>e la fréquentation TGV, seuls le</w:t>
      </w:r>
      <w:r w:rsidR="00372B99">
        <w:rPr>
          <w:sz w:val="24"/>
          <w:szCs w:val="24"/>
        </w:rPr>
        <w:t xml:space="preserve">s trafics TER </w:t>
      </w:r>
      <w:r w:rsidR="00794E76">
        <w:rPr>
          <w:sz w:val="24"/>
          <w:szCs w:val="24"/>
        </w:rPr>
        <w:t>étant</w:t>
      </w:r>
      <w:r w:rsidR="00372B99">
        <w:rPr>
          <w:sz w:val="24"/>
          <w:szCs w:val="24"/>
        </w:rPr>
        <w:t xml:space="preserve"> en croissance. </w:t>
      </w:r>
      <w:r w:rsidR="000B69BC" w:rsidRPr="00AE749B">
        <w:rPr>
          <w:sz w:val="24"/>
          <w:szCs w:val="24"/>
        </w:rPr>
        <w:t xml:space="preserve">Dans ces conditions, faut-il à trafic égal (en tous cas avant la </w:t>
      </w:r>
      <w:r w:rsidR="00D87BF8">
        <w:rPr>
          <w:sz w:val="24"/>
          <w:szCs w:val="24"/>
        </w:rPr>
        <w:t xml:space="preserve">lointaine </w:t>
      </w:r>
      <w:r w:rsidR="000B69BC" w:rsidRPr="00AE749B">
        <w:rPr>
          <w:sz w:val="24"/>
          <w:szCs w:val="24"/>
        </w:rPr>
        <w:t>réalisation de la LNMP) investir dans une gare dont le trafic voyageur</w:t>
      </w:r>
      <w:r w:rsidR="00372B99">
        <w:rPr>
          <w:sz w:val="24"/>
          <w:szCs w:val="24"/>
        </w:rPr>
        <w:t xml:space="preserve"> n’</w:t>
      </w:r>
      <w:r w:rsidR="00372B99" w:rsidRPr="00AE749B">
        <w:rPr>
          <w:sz w:val="24"/>
          <w:szCs w:val="24"/>
        </w:rPr>
        <w:t>équivaudrait</w:t>
      </w:r>
      <w:r w:rsidR="000B69BC" w:rsidRPr="00AE749B">
        <w:rPr>
          <w:sz w:val="24"/>
          <w:szCs w:val="24"/>
        </w:rPr>
        <w:t xml:space="preserve"> pour longtemps </w:t>
      </w:r>
      <w:r w:rsidR="00372B99">
        <w:rPr>
          <w:sz w:val="24"/>
          <w:szCs w:val="24"/>
        </w:rPr>
        <w:t>qu’</w:t>
      </w:r>
      <w:r w:rsidR="000B69BC" w:rsidRPr="00AE749B">
        <w:rPr>
          <w:sz w:val="24"/>
          <w:szCs w:val="24"/>
        </w:rPr>
        <w:t>à un partage des TGV existants avec la gare centre ? sans espoir d’augmenter par là même</w:t>
      </w:r>
      <w:r w:rsidR="002F036A">
        <w:rPr>
          <w:sz w:val="24"/>
          <w:szCs w:val="24"/>
        </w:rPr>
        <w:t xml:space="preserve"> la clientèle du rail, selon les</w:t>
      </w:r>
      <w:r w:rsidR="000B69BC" w:rsidRPr="00AE749B">
        <w:rPr>
          <w:sz w:val="24"/>
          <w:szCs w:val="24"/>
        </w:rPr>
        <w:t xml:space="preserve"> propres dires</w:t>
      </w:r>
      <w:r w:rsidR="002F036A">
        <w:rPr>
          <w:sz w:val="24"/>
          <w:szCs w:val="24"/>
        </w:rPr>
        <w:t xml:space="preserve"> du Maître d’ouvrage </w:t>
      </w:r>
      <w:r w:rsidR="000B69BC" w:rsidRPr="00AE749B">
        <w:rPr>
          <w:sz w:val="24"/>
          <w:szCs w:val="24"/>
        </w:rPr>
        <w:t xml:space="preserve"> (RFF, Enquête publique du CNM).</w:t>
      </w:r>
      <w:r w:rsidR="00F23D12" w:rsidRPr="00F23D12">
        <w:rPr>
          <w:sz w:val="24"/>
          <w:szCs w:val="24"/>
        </w:rPr>
        <w:t xml:space="preserve"> </w:t>
      </w:r>
      <w:r w:rsidR="00372B99">
        <w:rPr>
          <w:sz w:val="24"/>
          <w:szCs w:val="24"/>
        </w:rPr>
        <w:t xml:space="preserve"> Le dossier </w:t>
      </w:r>
      <w:r w:rsidR="00372B99">
        <w:rPr>
          <w:sz w:val="24"/>
          <w:szCs w:val="24"/>
        </w:rPr>
        <w:lastRenderedPageBreak/>
        <w:t xml:space="preserve">actuel ignore toute </w:t>
      </w:r>
      <w:r w:rsidR="00794E76">
        <w:rPr>
          <w:sz w:val="24"/>
          <w:szCs w:val="24"/>
        </w:rPr>
        <w:t>comparaison</w:t>
      </w:r>
      <w:r w:rsidR="00372B99">
        <w:rPr>
          <w:sz w:val="24"/>
          <w:szCs w:val="24"/>
        </w:rPr>
        <w:t xml:space="preserve">   démograph</w:t>
      </w:r>
      <w:r w:rsidR="00794E76">
        <w:rPr>
          <w:sz w:val="24"/>
          <w:szCs w:val="24"/>
        </w:rPr>
        <w:t>ique des polarités urbaines qui invalideraient la thèse d’une attractivité de NMR.</w:t>
      </w:r>
      <w:r w:rsidR="00372B99">
        <w:rPr>
          <w:sz w:val="24"/>
          <w:szCs w:val="24"/>
        </w:rPr>
        <w:t xml:space="preserve"> </w:t>
      </w:r>
      <w:r w:rsidR="00794E76">
        <w:rPr>
          <w:sz w:val="24"/>
          <w:szCs w:val="24"/>
        </w:rPr>
        <w:t>Pour l</w:t>
      </w:r>
      <w:r w:rsidR="00F23D12">
        <w:rPr>
          <w:sz w:val="24"/>
          <w:szCs w:val="24"/>
        </w:rPr>
        <w:t>a très grande majorité des voyageurs potentiels appartenant aux bassins de vie de Nîmes et d’Alès, l</w:t>
      </w:r>
      <w:r w:rsidR="00794E76">
        <w:rPr>
          <w:sz w:val="24"/>
          <w:szCs w:val="24"/>
        </w:rPr>
        <w:t>’augmentation des temps</w:t>
      </w:r>
      <w:r w:rsidR="00F23D12">
        <w:rPr>
          <w:sz w:val="24"/>
          <w:szCs w:val="24"/>
        </w:rPr>
        <w:t xml:space="preserve"> </w:t>
      </w:r>
      <w:r w:rsidR="00794E76">
        <w:rPr>
          <w:sz w:val="24"/>
          <w:szCs w:val="24"/>
        </w:rPr>
        <w:t xml:space="preserve">et coûts </w:t>
      </w:r>
      <w:r w:rsidR="00F23D12">
        <w:rPr>
          <w:sz w:val="24"/>
          <w:szCs w:val="24"/>
        </w:rPr>
        <w:t xml:space="preserve">d’accès de </w:t>
      </w:r>
      <w:r w:rsidR="00794E76">
        <w:rPr>
          <w:sz w:val="24"/>
          <w:szCs w:val="24"/>
        </w:rPr>
        <w:t>NMR,</w:t>
      </w:r>
      <w:r w:rsidR="00F23D12">
        <w:rPr>
          <w:sz w:val="24"/>
          <w:szCs w:val="24"/>
        </w:rPr>
        <w:t xml:space="preserve"> augmentés des ruptures de charge</w:t>
      </w:r>
      <w:r w:rsidR="00372B99">
        <w:rPr>
          <w:sz w:val="24"/>
          <w:szCs w:val="24"/>
        </w:rPr>
        <w:t xml:space="preserve">, </w:t>
      </w:r>
      <w:r w:rsidR="00794E76">
        <w:rPr>
          <w:sz w:val="24"/>
          <w:szCs w:val="24"/>
        </w:rPr>
        <w:t xml:space="preserve">signent une </w:t>
      </w:r>
      <w:r w:rsidR="00372B99">
        <w:rPr>
          <w:sz w:val="24"/>
          <w:szCs w:val="24"/>
        </w:rPr>
        <w:t>régression inacceptable du service rendu.</w:t>
      </w:r>
    </w:p>
    <w:p w:rsidR="00794E76" w:rsidRPr="00AE749B" w:rsidRDefault="00794E76" w:rsidP="00C772C8">
      <w:pPr>
        <w:spacing w:after="160" w:line="259" w:lineRule="auto"/>
        <w:ind w:left="708"/>
        <w:rPr>
          <w:sz w:val="24"/>
          <w:szCs w:val="24"/>
        </w:rPr>
      </w:pPr>
      <w:r>
        <w:rPr>
          <w:sz w:val="24"/>
          <w:szCs w:val="24"/>
        </w:rPr>
        <w:t>Faut-il</w:t>
      </w:r>
      <w:r w:rsidR="00FD17B2">
        <w:rPr>
          <w:sz w:val="24"/>
          <w:szCs w:val="24"/>
        </w:rPr>
        <w:t>, à trafic égal,</w:t>
      </w:r>
      <w:r>
        <w:rPr>
          <w:sz w:val="24"/>
          <w:szCs w:val="24"/>
        </w:rPr>
        <w:t xml:space="preserve"> faire </w:t>
      </w:r>
      <w:r w:rsidR="00FD17B2">
        <w:rPr>
          <w:sz w:val="24"/>
          <w:szCs w:val="24"/>
        </w:rPr>
        <w:t>supporter à</w:t>
      </w:r>
      <w:r>
        <w:rPr>
          <w:sz w:val="24"/>
          <w:szCs w:val="24"/>
        </w:rPr>
        <w:t xml:space="preserve"> l’usager et au contribuable, </w:t>
      </w:r>
      <w:r w:rsidR="00FD17B2">
        <w:rPr>
          <w:sz w:val="24"/>
          <w:szCs w:val="24"/>
        </w:rPr>
        <w:t>pour deux villes quatre gares ? Non.</w:t>
      </w:r>
    </w:p>
    <w:p w:rsidR="00A82649" w:rsidRPr="007F6A71" w:rsidRDefault="00A82649" w:rsidP="00360EDE">
      <w:pPr>
        <w:spacing w:after="160" w:line="259" w:lineRule="auto"/>
        <w:ind w:left="708"/>
        <w:rPr>
          <w:sz w:val="24"/>
          <w:szCs w:val="24"/>
        </w:rPr>
      </w:pPr>
      <w:r w:rsidRPr="007F6A71">
        <w:rPr>
          <w:sz w:val="24"/>
          <w:szCs w:val="24"/>
        </w:rPr>
        <w:t xml:space="preserve">L’Enquête est là pour permettre l’expression du citoyen ; il est habitant, et l’enquête elle-même montre que pour l’immense majorité cette gare serait plus éloignée de leur habitat ; il est aussi usager des transports, et on lui propose un accès voiture totalement dominant ; il est aussi contribuable, et </w:t>
      </w:r>
      <w:r w:rsidR="00651D69" w:rsidRPr="007F6A71">
        <w:rPr>
          <w:sz w:val="24"/>
          <w:szCs w:val="24"/>
        </w:rPr>
        <w:t>doit anticiper le cumul d’</w:t>
      </w:r>
      <w:r w:rsidRPr="007F6A71">
        <w:rPr>
          <w:sz w:val="24"/>
          <w:szCs w:val="24"/>
        </w:rPr>
        <w:t xml:space="preserve">une augmentation des tarifs et </w:t>
      </w:r>
      <w:r w:rsidR="00651D69" w:rsidRPr="007F6A71">
        <w:rPr>
          <w:sz w:val="24"/>
          <w:szCs w:val="24"/>
        </w:rPr>
        <w:t xml:space="preserve">de </w:t>
      </w:r>
      <w:r w:rsidRPr="007F6A71">
        <w:rPr>
          <w:sz w:val="24"/>
          <w:szCs w:val="24"/>
        </w:rPr>
        <w:t>la couverture socialisée des déficits</w:t>
      </w:r>
      <w:r w:rsidR="00651D69" w:rsidRPr="007F6A71">
        <w:rPr>
          <w:sz w:val="24"/>
          <w:szCs w:val="24"/>
        </w:rPr>
        <w:t xml:space="preserve"> de la gare, de l’infrastructure et de l’exploitant.</w:t>
      </w:r>
      <w:r w:rsidRPr="007F6A71">
        <w:rPr>
          <w:sz w:val="24"/>
          <w:szCs w:val="24"/>
        </w:rPr>
        <w:t xml:space="preserve"> </w:t>
      </w:r>
    </w:p>
    <w:p w:rsidR="00651D69" w:rsidRDefault="00651D69" w:rsidP="00360EDE">
      <w:pPr>
        <w:spacing w:after="160" w:line="259" w:lineRule="auto"/>
        <w:ind w:left="708"/>
        <w:rPr>
          <w:b/>
          <w:sz w:val="24"/>
          <w:szCs w:val="24"/>
        </w:rPr>
      </w:pPr>
      <w:r>
        <w:rPr>
          <w:b/>
          <w:sz w:val="24"/>
          <w:szCs w:val="24"/>
        </w:rPr>
        <w:t xml:space="preserve">la FNAUT, défenseur des usagers, </w:t>
      </w:r>
      <w:r w:rsidR="00EC34E3">
        <w:rPr>
          <w:b/>
          <w:sz w:val="24"/>
          <w:szCs w:val="24"/>
        </w:rPr>
        <w:t xml:space="preserve">rejette </w:t>
      </w:r>
      <w:r w:rsidR="00B1471B">
        <w:rPr>
          <w:b/>
          <w:sz w:val="24"/>
          <w:szCs w:val="24"/>
        </w:rPr>
        <w:t xml:space="preserve">après étude </w:t>
      </w:r>
      <w:r w:rsidR="007F6A71">
        <w:rPr>
          <w:b/>
          <w:sz w:val="24"/>
          <w:szCs w:val="24"/>
        </w:rPr>
        <w:t xml:space="preserve"> cette</w:t>
      </w:r>
      <w:r w:rsidR="00C2680E">
        <w:rPr>
          <w:b/>
          <w:sz w:val="24"/>
          <w:szCs w:val="24"/>
        </w:rPr>
        <w:t xml:space="preserve"> solution </w:t>
      </w:r>
      <w:r w:rsidR="007F6A71">
        <w:rPr>
          <w:b/>
          <w:sz w:val="24"/>
          <w:szCs w:val="24"/>
        </w:rPr>
        <w:t xml:space="preserve">d’accès des villes par </w:t>
      </w:r>
      <w:r w:rsidR="00C2680E">
        <w:rPr>
          <w:b/>
          <w:sz w:val="24"/>
          <w:szCs w:val="24"/>
        </w:rPr>
        <w:t xml:space="preserve">des gares </w:t>
      </w:r>
      <w:proofErr w:type="spellStart"/>
      <w:r w:rsidR="00C2680E">
        <w:rPr>
          <w:b/>
          <w:sz w:val="24"/>
          <w:szCs w:val="24"/>
        </w:rPr>
        <w:t>exurbanisées</w:t>
      </w:r>
      <w:proofErr w:type="spellEnd"/>
      <w:r w:rsidR="00B1471B">
        <w:rPr>
          <w:b/>
          <w:sz w:val="24"/>
          <w:szCs w:val="24"/>
        </w:rPr>
        <w:t xml:space="preserve"> (PJ 1) </w:t>
      </w:r>
      <w:r w:rsidR="00C2680E">
        <w:rPr>
          <w:b/>
          <w:sz w:val="24"/>
          <w:szCs w:val="24"/>
        </w:rPr>
        <w:t>.</w:t>
      </w:r>
      <w:r w:rsidR="001E4CFC">
        <w:rPr>
          <w:b/>
          <w:sz w:val="24"/>
          <w:szCs w:val="24"/>
        </w:rPr>
        <w:t xml:space="preserve"> Solution </w:t>
      </w:r>
      <w:r w:rsidR="00B1471B">
        <w:rPr>
          <w:b/>
          <w:sz w:val="24"/>
          <w:szCs w:val="24"/>
        </w:rPr>
        <w:t xml:space="preserve">d’ailleurs </w:t>
      </w:r>
      <w:r w:rsidR="001E4CFC">
        <w:rPr>
          <w:b/>
          <w:sz w:val="24"/>
          <w:szCs w:val="24"/>
        </w:rPr>
        <w:t>rejetée pour le CNM dans l’Enquête publique préliminaire à sa DUP et approuvée sans gares extérieures.</w:t>
      </w:r>
      <w:r w:rsidR="00B1471B">
        <w:rPr>
          <w:b/>
          <w:sz w:val="24"/>
          <w:szCs w:val="24"/>
        </w:rPr>
        <w:t>(</w:t>
      </w:r>
      <w:r w:rsidR="00C2680E">
        <w:rPr>
          <w:b/>
          <w:sz w:val="24"/>
          <w:szCs w:val="24"/>
        </w:rPr>
        <w:t xml:space="preserve"> </w:t>
      </w:r>
      <w:r w:rsidR="006A1B23">
        <w:rPr>
          <w:b/>
          <w:sz w:val="24"/>
          <w:szCs w:val="24"/>
        </w:rPr>
        <w:t>PJ 2)</w:t>
      </w:r>
      <w:bookmarkStart w:id="0" w:name="_GoBack"/>
      <w:bookmarkEnd w:id="0"/>
    </w:p>
    <w:p w:rsidR="007F6A71" w:rsidRDefault="007F6A71" w:rsidP="00360EDE">
      <w:pPr>
        <w:spacing w:after="160" w:line="259" w:lineRule="auto"/>
        <w:ind w:left="708"/>
        <w:rPr>
          <w:b/>
          <w:sz w:val="24"/>
          <w:szCs w:val="24"/>
        </w:rPr>
      </w:pPr>
      <w:r>
        <w:rPr>
          <w:b/>
          <w:sz w:val="24"/>
          <w:szCs w:val="24"/>
        </w:rPr>
        <w:t xml:space="preserve"> l’Enquête, à sa lecture, n’apportant aucune garantie aux usagers du transport ferroviaire, nous émettons une</w:t>
      </w:r>
    </w:p>
    <w:p w:rsidR="007218D4" w:rsidRDefault="007218D4" w:rsidP="00360EDE">
      <w:pPr>
        <w:spacing w:after="160" w:line="259" w:lineRule="auto"/>
        <w:ind w:left="708"/>
        <w:rPr>
          <w:b/>
          <w:sz w:val="24"/>
          <w:szCs w:val="24"/>
        </w:rPr>
      </w:pPr>
    </w:p>
    <w:p w:rsidR="007F6A71" w:rsidRDefault="007F6A71" w:rsidP="00360EDE">
      <w:pPr>
        <w:spacing w:after="160" w:line="259" w:lineRule="auto"/>
        <w:ind w:left="708"/>
        <w:rPr>
          <w:b/>
          <w:sz w:val="24"/>
          <w:szCs w:val="24"/>
        </w:rPr>
      </w:pPr>
      <w:r>
        <w:rPr>
          <w:b/>
          <w:sz w:val="24"/>
          <w:szCs w:val="24"/>
        </w:rPr>
        <w:tab/>
        <w:t>APPRECIATION TOTALEMENT DEFAVORABLE.</w:t>
      </w:r>
    </w:p>
    <w:p w:rsidR="007F6A71" w:rsidRDefault="007F6A71" w:rsidP="00360EDE">
      <w:pPr>
        <w:spacing w:after="160" w:line="259" w:lineRule="auto"/>
        <w:ind w:left="708"/>
        <w:rPr>
          <w:b/>
          <w:sz w:val="24"/>
          <w:szCs w:val="24"/>
        </w:rPr>
      </w:pPr>
    </w:p>
    <w:p w:rsidR="007F6A71" w:rsidRDefault="007F6A71" w:rsidP="00360EDE">
      <w:pPr>
        <w:spacing w:after="160" w:line="259" w:lineRule="auto"/>
        <w:ind w:left="708"/>
        <w:rPr>
          <w:b/>
          <w:sz w:val="24"/>
          <w:szCs w:val="24"/>
        </w:rPr>
      </w:pPr>
    </w:p>
    <w:p w:rsidR="00EA211E" w:rsidRDefault="007F6A71" w:rsidP="00F23D12">
      <w:pPr>
        <w:spacing w:after="160" w:line="259" w:lineRule="auto"/>
        <w:ind w:left="708"/>
      </w:pPr>
      <w:r>
        <w:t xml:space="preserve">Pour l’ASPIC, </w:t>
      </w:r>
      <w:r w:rsidR="00F23D12">
        <w:t xml:space="preserve">André Bruston, président </w:t>
      </w:r>
    </w:p>
    <w:p w:rsidR="00B1471B" w:rsidRDefault="00B1471B" w:rsidP="00F23D12">
      <w:pPr>
        <w:spacing w:after="160" w:line="259" w:lineRule="auto"/>
        <w:ind w:left="708"/>
      </w:pPr>
    </w:p>
    <w:p w:rsidR="00444BC6" w:rsidRDefault="00B1471B" w:rsidP="00F23D12">
      <w:pPr>
        <w:spacing w:after="160" w:line="259" w:lineRule="auto"/>
        <w:ind w:left="708"/>
      </w:pPr>
      <w:r>
        <w:t xml:space="preserve">3 </w:t>
      </w:r>
      <w:r w:rsidR="001E4CFC">
        <w:t>P.J.</w:t>
      </w:r>
    </w:p>
    <w:p w:rsidR="001E4CFC" w:rsidRDefault="00444BC6" w:rsidP="00F23D12">
      <w:pPr>
        <w:spacing w:after="160" w:line="259" w:lineRule="auto"/>
        <w:ind w:left="708"/>
      </w:pPr>
      <w:r>
        <w:t xml:space="preserve">1) </w:t>
      </w:r>
      <w:r w:rsidR="001E4CFC">
        <w:t xml:space="preserve"> Diagnostic socioéconomique Enquête publique pour le CNM</w:t>
      </w:r>
    </w:p>
    <w:p w:rsidR="00444BC6" w:rsidRDefault="00444BC6" w:rsidP="00F23D12">
      <w:pPr>
        <w:spacing w:after="160" w:line="259" w:lineRule="auto"/>
        <w:ind w:left="708"/>
      </w:pPr>
      <w:r>
        <w:t>2) article de Jean-François TROIN, TGV et métropolisation, « rêve ou réalité ?»</w:t>
      </w:r>
    </w:p>
    <w:p w:rsidR="00444BC6" w:rsidRDefault="000951A3" w:rsidP="00F23D12">
      <w:pPr>
        <w:spacing w:after="160" w:line="259" w:lineRule="auto"/>
        <w:ind w:left="708"/>
      </w:pPr>
      <w:r>
        <w:t>3) Communiqué de presse, 10 mars 2017</w:t>
      </w:r>
    </w:p>
    <w:p w:rsidR="0060702A" w:rsidRDefault="0060702A" w:rsidP="00F23D12">
      <w:pPr>
        <w:spacing w:after="160" w:line="259" w:lineRule="auto"/>
        <w:ind w:left="708"/>
      </w:pPr>
    </w:p>
    <w:p w:rsidR="0060702A" w:rsidRDefault="0060702A" w:rsidP="00F23D12">
      <w:pPr>
        <w:spacing w:after="160" w:line="259" w:lineRule="auto"/>
        <w:ind w:left="708"/>
      </w:pPr>
    </w:p>
    <w:sectPr w:rsidR="006070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7047C"/>
    <w:multiLevelType w:val="hybridMultilevel"/>
    <w:tmpl w:val="F6B2C536"/>
    <w:lvl w:ilvl="0" w:tplc="4D40E3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E8C"/>
    <w:rsid w:val="000951A3"/>
    <w:rsid w:val="000B69BC"/>
    <w:rsid w:val="00117E8C"/>
    <w:rsid w:val="001E4CFC"/>
    <w:rsid w:val="002F036A"/>
    <w:rsid w:val="003203E2"/>
    <w:rsid w:val="0033741D"/>
    <w:rsid w:val="00360EDE"/>
    <w:rsid w:val="00372B99"/>
    <w:rsid w:val="00434AFC"/>
    <w:rsid w:val="00444BC6"/>
    <w:rsid w:val="00474592"/>
    <w:rsid w:val="004855A2"/>
    <w:rsid w:val="00543BCA"/>
    <w:rsid w:val="005C4B01"/>
    <w:rsid w:val="0060702A"/>
    <w:rsid w:val="00651D69"/>
    <w:rsid w:val="006A1B23"/>
    <w:rsid w:val="007218D4"/>
    <w:rsid w:val="00794E76"/>
    <w:rsid w:val="007F6A71"/>
    <w:rsid w:val="00A101B8"/>
    <w:rsid w:val="00A82649"/>
    <w:rsid w:val="00AE749B"/>
    <w:rsid w:val="00B1471B"/>
    <w:rsid w:val="00B90010"/>
    <w:rsid w:val="00C2680E"/>
    <w:rsid w:val="00C625FC"/>
    <w:rsid w:val="00C772C8"/>
    <w:rsid w:val="00C84B72"/>
    <w:rsid w:val="00CA605A"/>
    <w:rsid w:val="00D87BF8"/>
    <w:rsid w:val="00EA211E"/>
    <w:rsid w:val="00EC34E3"/>
    <w:rsid w:val="00F23D12"/>
    <w:rsid w:val="00FD17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E4D4E"/>
  <w15:chartTrackingRefBased/>
  <w15:docId w15:val="{B01350AD-6C4D-4051-948A-19D1EE5B2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7E8C"/>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6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968</Words>
  <Characters>5329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Bruston</dc:creator>
  <cp:keywords/>
  <dc:description/>
  <cp:lastModifiedBy>André Bruston</cp:lastModifiedBy>
  <cp:revision>14</cp:revision>
  <dcterms:created xsi:type="dcterms:W3CDTF">2017-03-16T21:18:00Z</dcterms:created>
  <dcterms:modified xsi:type="dcterms:W3CDTF">2017-03-17T11:29:00Z</dcterms:modified>
</cp:coreProperties>
</file>